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方正仿宋_GBK"/>
          <w:kern w:val="0"/>
          <w:sz w:val="30"/>
          <w:szCs w:val="30"/>
        </w:rPr>
      </w:pPr>
      <w:r>
        <w:rPr>
          <w:rFonts w:ascii="Times New Roman" w:hAnsi="Times New Roman" w:eastAsia="方正仿宋_GBK"/>
          <w:kern w:val="0"/>
          <w:sz w:val="30"/>
          <w:szCs w:val="30"/>
        </w:rPr>
        <w:t>附件：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ascii="方正大标宋_GBK" w:hAnsi="方正大标宋_GBK" w:eastAsia="方正大标宋_GBK" w:cs="方正大标宋_GBK"/>
          <w:color w:val="000000"/>
          <w:sz w:val="36"/>
          <w:szCs w:val="36"/>
        </w:rPr>
      </w:pPr>
      <w:r>
        <w:rPr>
          <w:rFonts w:hint="eastAsia" w:ascii="方正大标宋_GBK" w:hAnsi="方正大标宋_GBK" w:eastAsia="方正大标宋_GBK" w:cs="方正大标宋_GBK"/>
          <w:color w:val="000000"/>
          <w:sz w:val="36"/>
          <w:szCs w:val="36"/>
        </w:rPr>
        <w:t>2021年度第八批江门市科技计划项目</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ascii="Times New Roman" w:hAnsi="Times New Roman" w:eastAsia="方正仿宋_GBK" w:cs="Times New Roman"/>
          <w:color w:val="000000"/>
          <w:sz w:val="32"/>
          <w:szCs w:val="32"/>
        </w:rPr>
      </w:pPr>
      <w:r>
        <w:rPr>
          <w:rFonts w:hint="eastAsia" w:ascii="方正大标宋_GBK" w:hAnsi="方正大标宋_GBK" w:eastAsia="方正大标宋_GBK" w:cs="方正大标宋_GBK"/>
          <w:color w:val="000000"/>
          <w:sz w:val="36"/>
          <w:szCs w:val="36"/>
        </w:rPr>
        <w:t>验收结论公示表</w:t>
      </w:r>
    </w:p>
    <w:p>
      <w:pPr>
        <w:widowControl/>
        <w:spacing w:after="240" w:line="340" w:lineRule="exact"/>
        <w:jc w:val="center"/>
        <w:rPr>
          <w:rFonts w:ascii="Times New Roman" w:hAnsi="Times New Roman" w:eastAsia="方正仿宋_GBK"/>
          <w:kern w:val="0"/>
          <w:sz w:val="30"/>
          <w:szCs w:val="30"/>
        </w:rPr>
      </w:pPr>
    </w:p>
    <w:tbl>
      <w:tblPr>
        <w:tblStyle w:val="6"/>
        <w:tblW w:w="9558" w:type="dxa"/>
        <w:jc w:val="center"/>
        <w:tblLayout w:type="fixed"/>
        <w:tblCellMar>
          <w:top w:w="0" w:type="dxa"/>
          <w:left w:w="108" w:type="dxa"/>
          <w:bottom w:w="0" w:type="dxa"/>
          <w:right w:w="108" w:type="dxa"/>
        </w:tblCellMar>
      </w:tblPr>
      <w:tblGrid>
        <w:gridCol w:w="598"/>
        <w:gridCol w:w="4726"/>
        <w:gridCol w:w="2535"/>
        <w:gridCol w:w="1699"/>
      </w:tblGrid>
      <w:tr>
        <w:tblPrEx>
          <w:tblCellMar>
            <w:top w:w="0" w:type="dxa"/>
            <w:left w:w="108" w:type="dxa"/>
            <w:bottom w:w="0" w:type="dxa"/>
            <w:right w:w="108" w:type="dxa"/>
          </w:tblCellMar>
        </w:tblPrEx>
        <w:trPr>
          <w:trHeight w:val="731" w:hRule="atLeast"/>
          <w:tblHeader/>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ascii="Times New Roman" w:hAnsi="Times New Roman" w:eastAsia="方正仿宋_GBK"/>
                <w:b/>
                <w:bCs/>
                <w:sz w:val="24"/>
                <w:szCs w:val="24"/>
              </w:rPr>
              <w:t>序号</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ascii="Times New Roman" w:hAnsi="Times New Roman" w:eastAsia="方正仿宋_GBK"/>
                <w:b/>
                <w:bCs/>
                <w:sz w:val="24"/>
                <w:szCs w:val="24"/>
              </w:rPr>
              <w:t>项 目 名 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ascii="Times New Roman" w:hAnsi="Times New Roman" w:eastAsia="方正仿宋_GBK"/>
                <w:b/>
                <w:bCs/>
                <w:sz w:val="24"/>
                <w:szCs w:val="24"/>
              </w:rPr>
              <w:t>承 担 单 位</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hint="eastAsia" w:ascii="Times New Roman" w:hAnsi="Times New Roman" w:eastAsia="方正仿宋_GBK"/>
                <w:b/>
                <w:bCs/>
                <w:sz w:val="24"/>
                <w:szCs w:val="24"/>
              </w:rPr>
              <w:t>验收结论</w:t>
            </w:r>
          </w:p>
        </w:tc>
      </w:tr>
      <w:tr>
        <w:tblPrEx>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sz w:val="22"/>
              </w:rPr>
            </w:pPr>
            <w:r>
              <w:rPr>
                <w:rFonts w:hint="eastAsia" w:ascii="Times New Roman" w:hAnsi="Times New Roman" w:eastAsia="方正仿宋_GBK"/>
                <w:b/>
                <w:bCs/>
                <w:sz w:val="22"/>
              </w:rPr>
              <w:t>市直单位（34项）</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江门市柔性电极材料及其应用工程技术研究中心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8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江门市可穿戴产品创新设计工程技术研究中心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片剂包装自动线的技术改造与探索</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w w:val="90"/>
                <w:sz w:val="22"/>
              </w:rPr>
              <w:t>广东江门中医药职业学院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深部热疗对缓解前列腺电切术后尿频症状的临床研究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利用信息化手段建立合理使用抗菌药物系统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急性心肌梗死早期脑钠肽动态检测及其对心力衰竭的预测价值</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应用大剂量胰岛素效果欠佳的2型糖尿病患者联合DDP4抑制剂的疗效观察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V-VST 吞咽评估筛查在脑卒中病房的应用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可变角度与固定角度桡骨远端掌侧锁定钢板比较的前瞻性研究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门静脉血CEA值对结直肠癌肝转移化疗方案选择及预后评价的意义</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肝TACE术联合阿帕替尼治疗巨块型肝癌的临床研究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90"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青年肺癌EGFR表达与临床病理的关系及其在靶向治疗中的意义</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3D打印技术在老年肱骨近端粉碎性骨折治疗中的应用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不同层级护士发生护理不良事件后的心理因素影响调查研究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高尿酸血症与骨质疏松性骨折相关性的临床研究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FF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显微镜下椎管减压微创技术在老年人腰椎椎管狭窄症手术治疗中的临床效果研究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卒中后认知功能障碍的临床研究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β受体阻滞剂对老年原发性高血压患者骨代谢影响的研究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护理安全管理在患者安全中的临床应用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利拉鲁肽治疗2型糖尿病合并肥胖患者的疗效及安全性观察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静脉血栓栓塞性疾病的诊断中D二聚体参考值的界定</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脑微出血与脑梗死预后的关系研究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w w:val="90"/>
                <w:sz w:val="22"/>
              </w:rPr>
              <w:t>癔球症患者高分辨食管测压及生活暴露因素探讨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联动成像技术在诊断萎缩性胃炎中的应用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局麻下斜仰卧位经皮肾取石术治疗上尿路结石</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儿科门诊患者满意度关键驱动因素的相关性分析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不同血液透析方式对维持性血透患者微炎症状态的影响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联合检测AKA、抗CCP抗体与RF在类风湿性关节炎诊断中的临床应用研究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消除高张力药物致鼻胃管管饲的老年患者胃肠道功能紊乱和腹泻引发次生电解质丢失的研究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咽鼓管扩张、管内注入医用透明质酸钠凝胶治疗慢性咽鼓管功能不良的研究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HFNC联合呼吸康复治疗AECOPD合并II型呼吸衰竭患者的疗效观察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MDA-TEST在肺部良恶性结节筛查中的应用研究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全程陀螺刀放射治疗鼻咽癌的临床应用研究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诺欣妥在射血分数中间范围的心力衰竭患者治疗效果分析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b/>
                <w:bCs/>
                <w:sz w:val="22"/>
              </w:rPr>
              <w:t>蓬江区（5项）</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广东四方威凯机车涂料与涂装研究院的建设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广东四方威凯新材料</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广东省绿色环保粉末涂料工程技术研究中心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w w:val="90"/>
                <w:sz w:val="22"/>
              </w:rPr>
              <w:t>江门市皇宙实业有限公司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广东省新型厨房电器（升迅科技）工程技术研究中心资助项目</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江门市升迅科技实业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广东省水性涂料产业技术创新联盟建设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嘉宝莉化工集团股份</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高性能拓补结构羟基聚合物及高固体含量双组份聚氨酯涂料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嘉宝莉化工集团股份</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b/>
                <w:bCs/>
                <w:sz w:val="22"/>
              </w:rPr>
              <w:t>江海区（7项）</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前瞻性护理干预对妇产科全身麻醉手术患者应急及寒战躁动的影响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江门市江海区人民医院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颈动脉灌注疗法治疗脑梗塞后遗症期的临床研究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江门市江海区人民医院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广东省摩托车动力组件工程技术研究中心资助项目</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江门市朝扬精密制造</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广东省空调产品（三菱重工&amp;金羚）工程技术研究中心平台建设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三菱重工金羚空调器</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白虎汤颗粒剂加刺络放血治疗高热的疗效观察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江门市江海区人民医院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新材料公共检测与技术服务平台建设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江门市长优实业有限公司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广东省万木新型LED封装材料工程技术研究中心建设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广东万木新材料科技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b/>
                <w:bCs/>
                <w:sz w:val="22"/>
              </w:rPr>
              <w:t>新会区（119项）</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新会陈皮有害生物综合防治</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新会出入境检验检疫局综合技术服务中心</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进出口纸制品中消毒剂快速检测方法研究与风险评估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新会出入境检验检疫局综合技术服务中心</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基于神经网络的图书馆图书流通量预测研究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江门市新会区景堂图书馆</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杜仲引种驯化栽培及组培快繁技术研究与示范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江门市新会区林业科学研究所</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sz w:val="22"/>
              </w:rPr>
            </w:pPr>
            <w:r>
              <w:rPr>
                <w:rFonts w:ascii="Times New Roman" w:hAnsi="Times New Roman" w:eastAsia="方正仿宋_GBK"/>
                <w:kern w:val="0"/>
                <w:sz w:val="22"/>
              </w:rPr>
              <w:t>51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LED驱动电源无电解电容滤波技术的研究及产业化</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江门市华凯科技有限公司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焊接与切割设备</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江门市保值久机电</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南方（新会）水田柑橘宽板三行种植及GAP创新技术体系研究示范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江门市新会区雄祺柑桔专业合作社</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sz w:val="22"/>
              </w:rPr>
            </w:pPr>
            <w:r>
              <w:rPr>
                <w:rFonts w:ascii="Times New Roman" w:hAnsi="Times New Roman" w:eastAsia="方正仿宋_GBK"/>
                <w:kern w:val="0"/>
                <w:sz w:val="22"/>
              </w:rPr>
              <w:t>54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都市型设施园艺创新栽培模式及其装置的研发与示范推广</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江门市浩伦生态农业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旱地薄膜覆底栽培种植大鳌慈姑</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江门市新会区大鳌镇农业综合服务中心</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新垦区土壤培育与果菜高效生态栽培关键技术集成研究与示范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江门市浩伦生态农业有限公司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广东天之源农业科技有限公司科技特派员工作站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广东天之源农业科技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生态型贝壳资源开发利用及产业化</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sz w:val="22"/>
              </w:rPr>
              <w:t>广东贝尤安新材料科技有限公司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74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江门市功能性针织面料（大兴）工程技术研究中心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江门市大兴针织厂</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江门市环保型无纺材料工程技术研究中心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江门市富源无纺布厂</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江门市高强度舒适马桶盖制备工程技术研究中心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江门市冠球实业有限公司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江门市自动化环保彩印工程技术研究中心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江门市合盈彩印包装</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江门市高端理容器材工程技术研究中心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江门市恒卓理容器材</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江门市新型高性能清洁制刷工程技术研究中心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江门市新光源制刷</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江门市金萃不锈锅工程技术研究中心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江门市新会区金萃金属制品有限公司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江门市高性能地毯基布制造工程技术研究中心可行性报告</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江门市新会区永键化纤有限公司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江门市高性能润滑油制备工程技术研究中心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顺昌润滑油（广东）有限公司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江门市高端服装制造与加工技术工程技术研究开发中心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江门市新会区华侨制衣进出口有限公司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江门市纸制品自动化制造工程技术研究中心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江门市厚润纸制品有限公司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江门市不锈钢家具制品工程技术研究中心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江门市锐丰金属制品有限公司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江门市耐腐蚀防水密封垫工程技术研究中心建设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江门市新会区天府密封科技有限公司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江门市（正华）家庭垃圾桶工程技术研究中心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江门市新会正华五金制品有限公司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江门市环保抗菌型生活用纸制备工程技术研究中心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江门市雅枫纸业有限公司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江门市（中钢）有色金属压延工艺工程技术研究中心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江门市中钢金属材料</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江门市高档不锈钢器具制造工程技术研究中心建设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江门市新会区爱邦宝金属制品有限公司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江门市华银实用厨具工程技术研究中心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江门市新会区华银金属制品厂有限公司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江门市高档健康不锈钢餐制备具工程技术研究中心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江门市新会区美厨娘金属制品厂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江门市铝制日用厨房炊具工程技术研究中心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江门市新会区明珠五金制品有限公司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江门市（品成）浴室配件工程技术研究中心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江门市新会区品成家</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用品厂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江门市新型智能化不锈钢垃圾收集器工程技术研究中心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江门市裕发金属制品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江门市正汇沙发骨架工程技术研究中心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江门市正汇金属制品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江门市清洁造纸生产技术工程研究中心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江门仁科绿洲纸业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江门市环保可降解塑料袋工程技术研究中心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江门市标扬塑业有限公司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江门市环保砂型铸造工程技术研究中心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江门市新会区城南铸造有限公司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江门市高质量五金制品工程技术研究中心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江门市杰出五金制品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江门市环保强耐腐电镀工程技术研究中心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江门市科智盛电镀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江门市陶瓷原料工程技术研究中心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江门市友顺陶瓷原料</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江门市钢结构工程技术研究中心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江门市泽星钢结构工程有限公司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江门市汽车内装橡塑制品工程技术研究中心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江门庆宇汽车内装配件有限公司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江门市合成树脂工程技术研究中心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江门市三木化工有限公司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江门市抗迁移环保高性能PVC充气产品工程技术研究开发中心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江门市盛鑫充气玩具</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江门市优质冷轧板材、钢管工程技术中心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江门市华睦五金有限公司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江门市卫生护理用品工程技术研究中心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江门市乐怡美卫生用品有限公司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江门市高端塑料薄膜印刷包装工程技术研究中心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江门市祥利包装彩印</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江门市实用、节能、环保小家电产品工程技术研究中心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江门市新会区浩信电器制造有限公司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江门市密封胶材料工程技术研究中心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江门市力达化学有限公司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江门市环保低碳绿色造纸工程技术研究开发中心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江门安兴纸业有限公司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江门市混凝土用粒化高炉矿渣微粉制备工程技术研究中心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江门市嘉洋新型建材</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焊接与切割设备</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江门市保值久机电</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江门市安全可靠型城际动车组总装配套件工程技术研究中心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江门市广润轨道交通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江门市环保塑料制品工程技术研究开发中心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江门市新会区日宝电</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塑制品有限公司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highlight w:val="yellow"/>
              </w:rPr>
            </w:pPr>
            <w:bookmarkStart w:id="0" w:name="_GoBack"/>
            <w:r>
              <w:rPr>
                <w:rFonts w:hint="eastAsia" w:ascii="Times New Roman" w:hAnsi="Times New Roman" w:eastAsia="方正仿宋_GBK"/>
                <w:kern w:val="0"/>
                <w:sz w:val="22"/>
                <w:highlight w:val="yellow"/>
              </w:rPr>
              <w:t>102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highlight w:val="yellow"/>
              </w:rPr>
            </w:pPr>
            <w:r>
              <w:rPr>
                <w:rFonts w:hint="eastAsia" w:ascii="方正仿宋_GBK" w:hAnsi="方正仿宋_GBK" w:eastAsia="方正仿宋_GBK" w:cs="方正仿宋_GBK"/>
                <w:color w:val="000000"/>
                <w:sz w:val="22"/>
                <w:highlight w:val="yellow"/>
              </w:rPr>
              <w:t>江门市特效高性能单丝工程技术研究中心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highlight w:val="yellow"/>
              </w:rPr>
            </w:pPr>
            <w:r>
              <w:rPr>
                <w:rFonts w:hint="eastAsia" w:ascii="方正仿宋_GBK" w:hAnsi="方正仿宋_GBK" w:eastAsia="方正仿宋_GBK" w:cs="方正仿宋_GBK"/>
                <w:color w:val="000000"/>
                <w:sz w:val="22"/>
                <w:highlight w:val="yellow"/>
              </w:rPr>
              <w:t>江门市新会区新华</w:t>
            </w:r>
          </w:p>
          <w:p>
            <w:pPr>
              <w:spacing w:line="400" w:lineRule="exact"/>
              <w:jc w:val="center"/>
              <w:rPr>
                <w:rFonts w:ascii="方正仿宋_GBK" w:hAnsi="方正仿宋_GBK" w:eastAsia="方正仿宋_GBK" w:cs="方正仿宋_GBK"/>
                <w:color w:val="000000"/>
                <w:sz w:val="22"/>
                <w:highlight w:val="yellow"/>
              </w:rPr>
            </w:pPr>
            <w:r>
              <w:rPr>
                <w:rFonts w:hint="eastAsia" w:ascii="方正仿宋_GBK" w:hAnsi="方正仿宋_GBK" w:eastAsia="方正仿宋_GBK" w:cs="方正仿宋_GBK"/>
                <w:color w:val="000000"/>
                <w:sz w:val="22"/>
                <w:highlight w:val="yellow"/>
              </w:rPr>
              <w:t>胶丝厂有限公司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highlight w:val="yellow"/>
              </w:rPr>
            </w:pPr>
            <w:r>
              <w:rPr>
                <w:rFonts w:hint="eastAsia" w:ascii="方正仿宋_GBK" w:hAnsi="方正仿宋_GBK" w:eastAsia="方正仿宋_GBK" w:cs="方正仿宋_GBK"/>
                <w:color w:val="000000"/>
                <w:sz w:val="22"/>
                <w:highlight w:val="yellow"/>
              </w:rPr>
              <w:t>验收通过</w:t>
            </w:r>
          </w:p>
        </w:tc>
      </w:tr>
      <w:bookmarkEnd w:id="0"/>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江门市高端耐用五金制品工程技术研究中心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江门市新会区锦隆金属制品厂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江门市文化纸工程技术研究开发中心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亚太森博(广东)纸业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江门市高性能不锈钢锅具及金属制品工程技术研究中心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江门市金江金属有限公司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江门市绿色现代电镀加工工程技术研究中心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江门市新会区图贝电子电器有限公司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江门市海洋船舶装备工程技术研究中心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广东新粤丰海洋工程装备有限公司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江门市绿色塑料包装工程技术研究中心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江门市新会三江塑料</w:t>
            </w:r>
          </w:p>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包装有限公司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组建江门市工程技术研究开发中心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新会日兴不锈钢制品</w:t>
            </w:r>
          </w:p>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江门市华津优质钢材冷轧工艺工程技术研究开发中心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江门市华津金属制品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江门市特种船舶工程技术研究中心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中交四航局江门航通</w:t>
            </w:r>
          </w:p>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船业有限公司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江门市高科技船舶设计制造工程技术研究中心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广东民华船艇科技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江门市水性色浆颜料工程技术研究中心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江门骅弘颜料有限公司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广东科隆生物科技工程技术研究中心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广东科隆生物科技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江门市轨道交通设备工程技术研究中心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广东南奥交通设备</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江门市自动化智能机械设备工程技术研究中心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广东天功自动化科技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江门市新粮动物营养饲料工程技术研究中心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广东新粮实业有限公司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新型橡胶产品制造工程技术研究中心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广东中鼎智能科技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江门市健康休闲食品工程技术研究开发中心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江门澳崎高质食品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江门市金属镀膜工程技术研究中心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江门市德康镀膜有限公司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江门市鼎龙智能节能技术应用工程技术研究中心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江门市鼎龙机房技术</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江门市凯斯特尔耐火材料工程技术研究中心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江门市凯斯特尔实业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江门市健康环保家居卫浴用品工程技术研究中心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江门市伟晔实业有限公司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江门市农业饲料加工技术工程技术研究中心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江门市新辉饲料厂</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江门市新型智能吊扇工程技术研究中心认定</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江门市新会区藤森五金电器厂有限公司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江门市米面制品工程技术研究中心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江门市新会区通心粉厂发展有限公司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江门市低功耗射频编码遥控装置工程技术研究中心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新会人人电子有限公司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江门市营养安全冷冻食品工程技术研究中心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广东希杰大昌冷冻食品有限公司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江门市制冷食品机械工程技术研究开发中心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江门市澳好利机械制造有限公司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江门市新型生物饲料工程技术研究中心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江门市海和饲料有限公司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江门市现代畜牧业养殖工程研究中心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江门市海和农牧科技有限公司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江门市（燕和）食用油脂工程技术研究中心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江门市新会区燕和油脂有限公司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江门市不锈钢烹具工程技术研究中心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江门市金鸿升金属制品有限公司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江门市健康环保家用金属制品工程研究中心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江门市新会区铭铖五金制造有限公司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江门市卓琪金属精美垃圾桶工程技术研究中心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江门市新会区卓琪金属制品有限公司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江门市环保、耐用高品质玻璃盖工程技术研究中心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江门市悦升金属制品有限公司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江门市低热量软质烘焙制品工程技术研究中心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江门高迪食品有限公司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江门市智慧灯具应用工程技术研究中心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江门市新北五金灯饰</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江门市不锈钢餐具先进制造工程技术研究中心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江门市宇鼎五金制品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江门市新型半导体引线框架工程技术研究中心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江门市鼎翔电子科技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江门市新型电子元器件工程技术研究中心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江门市钧崴电子科技有限公司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江门市高强瓦楞纸制品工程技术研究中心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江门市新会区银湖纸业有限公司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江门市智能小家电工程技术研究开发中心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江门市骏万电器制造</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江门市高品质压铸五金制品工程技术研究中心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江门市豪亮压铸五金</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江门市特效高性能混凝土外加剂工程技术研究中心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江门市桥石新型建材</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江门市生态营养生物饲料工程技术研究中心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江门市旺海饲料实业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江门市智能锁具工程技术研究中心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广东科裕智能科技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江门市利乐医药高性能铝管工程技术研究中心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广东利乐医药包装材料有限公司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江门市精密不锈钢材料工程技术研究中心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江门市日盈不锈钢材料厂有限公司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江门市五金制品工程技术研究中心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江门市力锋五金实业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江门市油脂工业工程技术研究中心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广东省新会嘉利油脂</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江门市工业智能装备工程技术研究中心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广东亿恒工业装备</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江门丽宫国际食品新会陈皮深加工工程技术研究中心建设</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江门丽宫国际食品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江门市（拓域）玩具工程技术研究中心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江门市拓域玩具有限公司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江门市速食粉面制品工程技术研究中心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江门市新会区罗坑爽爽粉面制品厂有限公司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江门市新型多功能吊扇工程技术研究中心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江门市威灵电器有限公司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江门市LED线路板工程技术研究中心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江门市高智电子科技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江门市时尚多功能吊扇工程技术研究中心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江门市新会区鸿基</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电器五金厂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江门市理容器材（朝晖）工程技术研究中心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江门市朝晖理容器材</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698"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江门市新型安全水产饲料工程技术研究中心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江门市恒胜实业有限公司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江门市高端厨房用具工程研究中心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江门市新会区司前家电五金厂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江门市新式低压电器研制工程技术研究中心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江门市新会格盈电器</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江门市高精密金属铸造件工程技术研究中心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江门市锐恒金属制品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江门市特色植物种苗工作技术研究中心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江门市新会区林业科学研究所</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江门市优质牛大力培育工程技术研究中心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广东禾盛生物技术</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b/>
                <w:bCs/>
                <w:color w:val="000000"/>
                <w:sz w:val="22"/>
              </w:rPr>
              <w:t>台山市（10项）</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166</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超声引导下小针刀联合阻滞治疗狭窄性腱鞘炎的临床研究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167</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乳腺癌乳腔镜腋窝淋巴结清扫术的前瞻性临床研究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168</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急性心肌梗死PCI术后早期康复治疗的疗效观察</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169</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软组织缝合方法对老年股骨颈骨折半髋置换术后出血的研究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台山市中医院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170</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sz w:val="22"/>
              </w:rPr>
              <w:t>基于阿尔茨海默氏病药物治疗进展，探讨针刺处方“通窍醒脑方”联合药物治疗阿尔茨海默氏病的临床疗效研究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台山市中医院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171</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富血小板第血浆结合负压封闭引流技术在慢性难愈创面中的应用</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台山市第二人民医院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172</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广东省药用塑料包装材料及模具制造工程技术研究中心建设</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台山市心华药用包装</w:t>
            </w:r>
          </w:p>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173</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w w:val="90"/>
                <w:sz w:val="22"/>
              </w:rPr>
              <w:t>便携式智能恒压负压吸引器的研制与临床应用研究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174</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经皮空心螺钉治疗髋臼前后柱骨折的临床研究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175</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台山市居民原发性骨质疏松症患病状况调查</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w w:val="90"/>
                <w:sz w:val="22"/>
              </w:rPr>
              <w:t>台山市汶村镇中心卫生院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b/>
                <w:bCs/>
                <w:color w:val="000000"/>
                <w:sz w:val="22"/>
              </w:rPr>
              <w:t>开平市（9项）</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情景模拟联合回授法健康教育对老年透析患者内瘘自我维护的影响</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广东省丙烯酸高分子亚克力胶粘材料工程技术研究中心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联冠（开平）胶粘制品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广东省智能卫生陶瓷洁具（金牌）工程技术研究中心建设</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开平金牌洁具有限公司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广东省高性能五金卫材制造工程技术研究中心资助项目</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开平市中奥卫浴有限公司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智能互联高响应伺服节能同步高速环保精密注塑机</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广东科仕特精密机械</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开平地区高血压患者血清同型半胱氨酸的分布特点调查</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TC/HDL-C比值对冠心病患者颈动脉内膜中层厚度关系的研究</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不同液体复苏方案救治非控制性创伤失血性休克的疗效观察</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不同强度的电针刺激抑制肥胖患者食欲的临床研究</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b/>
                <w:bCs/>
                <w:color w:val="000000"/>
                <w:sz w:val="22"/>
              </w:rPr>
              <w:t>鹤山市（42项）</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广东省华美金属制品工程技术研究中心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鹤山市华美金属制品有限公司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广东省新易高休闲皮鞋工程技术研究中心资助项目</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鹤山市新易高鞋业有限公司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江门市复合环保型胶合板工程技术研究中心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鹤山市恒林木厂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江门市婴幼儿营养辅食食品工程技术研究中心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鹤山市嘉士威食品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江门市环保儿童漆工程技术研究中心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鹤山市米奇涂料有限公司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江门市饮用水安全智能保障技术设备工程研究中心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江门市经宇五金电器设备有限公司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鹤山市舒柏雅实业有限公司科技特派员工作站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鹤山市舒柏雅实业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鹤山市鸿图铁艺实业有限公司院士工作站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鹤山市鸿图铁艺实业有限公司院士工作站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江门市广裕电风扇网罩工程技术研究中心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鹤山市广裕电器实业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江门市新型环保家具（欧和）工程技术研究中心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鹤山市欧和家具制造</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江门市高端面料织造研究工程技术研发中心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鹤山市正兴针织有限公司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江门市瓦楞包装工程技术研究中心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国腾彩色纸品（鹤山）</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江门市可调节式桌椅扶手工程技术研究中心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鹤山市鹤城镇豪天明品金属制品厂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江门市高热值生物质颗粒燃料及其制造工艺工程技术研究开发中心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鹤山市森源恒硕生物质能源有限公司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江门市中密度纤维板工程技术研究中心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鹤山市鸿滔木业有限公司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江门市高韧性塑料复合工程技术研究中心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鹤山市兴龙彩印有限公司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江门市弗兰卡厨房系统工程技术研究中心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弗兰卡（中国）厨房系统有限公司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江门市鞋用材料工程技术研究中心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鹤山市亿田路鞋业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江门市高端皮鞋绿色制造新技术工程技术研究中心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鹤山市中宝鞋业皮具</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江门市氯化石蜡制品工程技术研究中心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鹤山市奋力达化工</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江门市新型电机风扇罩智能制造工程技术研究中心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鹤山市生晖电器有限公司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江门市节能、高效电机系统工程技术研究中心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江门市信科电机有限公司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江门市户外用LED灯具工程技术研究开发中心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鹤山市普元电子照明有限公司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中浩精密电子线路板工程技术研究中心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江门市中浩精密电子</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新型防火玻璃科技特派员工作站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鹤山市恒保防火玻璃厂有限公司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江门市降温防尘正压风机工程技术研究中心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鹤山市明铉金属制品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江门市高速智能剑杆织机工程技术研究中心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鹤山市亚典机械纺织</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江门市新型多功能水族箱工程技术研究中心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广东闽江水族实业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江门市水产饲料及药品工程技术研究中心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鹤山市海龙实业有限公司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江门市五金卫浴精密部件工程技术研究中心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鹤山市康达五金卫浴</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江门市舒适智能淋浴花洒工程技术研究中心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鹤山市玛旭卫浴科技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江门市雅洁CNC制造水龙头工程技术研究中心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鹤山雅洁卫浴实业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江门市新型线路板的研制工程技术研究中心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鹤山市润昌电子电器</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江门市植物纤维垫工程技术研究中心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鹤山市怡欣纤维制品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江门市新型办公座椅工程技术研究中心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鹤山市四方家具有限公司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江门市（宏顺）环保节能灯饰工程技术研究中心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鹤山市宏顺灯饰有限公司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江门市多功能水龙头工程技术研究中心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鹤山市洁丽实业有限公司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江门市新型高性能光伏支架工程技术研究中心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鹤山市运通新能源科技有限公司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江门市智能型环保办公家具工程技术研究中心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鹤山市森纳家具有限公司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江门市人造石工程技术研究中心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鹤山市碧瑜石业有限公司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中华鳖仿生态养殖</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鹤山市古劳镇兴华东水产养殖场</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  题</w:t>
            </w:r>
          </w:p>
        </w:tc>
      </w:tr>
    </w:tbl>
    <w:p>
      <w:pPr>
        <w:spacing w:line="400" w:lineRule="exact"/>
        <w:rPr>
          <w:rFonts w:ascii="Times New Roman" w:hAnsi="Times New Roman" w:eastAsia="方正仿宋_GBK"/>
        </w:rPr>
      </w:pP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172A27"/>
    <w:rsid w:val="00030B62"/>
    <w:rsid w:val="00031102"/>
    <w:rsid w:val="00045CA0"/>
    <w:rsid w:val="00055683"/>
    <w:rsid w:val="0006239A"/>
    <w:rsid w:val="000707D9"/>
    <w:rsid w:val="00074572"/>
    <w:rsid w:val="00086313"/>
    <w:rsid w:val="000959C2"/>
    <w:rsid w:val="000C07C6"/>
    <w:rsid w:val="000F28E9"/>
    <w:rsid w:val="000F56AC"/>
    <w:rsid w:val="00124E38"/>
    <w:rsid w:val="00125A6F"/>
    <w:rsid w:val="00127D9F"/>
    <w:rsid w:val="00136906"/>
    <w:rsid w:val="00172A27"/>
    <w:rsid w:val="0017571B"/>
    <w:rsid w:val="00176E75"/>
    <w:rsid w:val="00180A8F"/>
    <w:rsid w:val="00182560"/>
    <w:rsid w:val="0018435D"/>
    <w:rsid w:val="00192D8C"/>
    <w:rsid w:val="001A216C"/>
    <w:rsid w:val="001A245A"/>
    <w:rsid w:val="001A6A3D"/>
    <w:rsid w:val="001C242B"/>
    <w:rsid w:val="001C7E84"/>
    <w:rsid w:val="001D2681"/>
    <w:rsid w:val="001E12AA"/>
    <w:rsid w:val="001E2557"/>
    <w:rsid w:val="0020080C"/>
    <w:rsid w:val="002014AB"/>
    <w:rsid w:val="002109F2"/>
    <w:rsid w:val="00217CBD"/>
    <w:rsid w:val="00230197"/>
    <w:rsid w:val="00233619"/>
    <w:rsid w:val="00234C7E"/>
    <w:rsid w:val="00243190"/>
    <w:rsid w:val="002458AF"/>
    <w:rsid w:val="00253EF4"/>
    <w:rsid w:val="00255488"/>
    <w:rsid w:val="00255A82"/>
    <w:rsid w:val="00283EB8"/>
    <w:rsid w:val="00293C3D"/>
    <w:rsid w:val="00297AA8"/>
    <w:rsid w:val="002A1860"/>
    <w:rsid w:val="002B7A51"/>
    <w:rsid w:val="002C5B49"/>
    <w:rsid w:val="002E0D59"/>
    <w:rsid w:val="002E2BE6"/>
    <w:rsid w:val="002E3A95"/>
    <w:rsid w:val="002E64DD"/>
    <w:rsid w:val="002F07ED"/>
    <w:rsid w:val="00321015"/>
    <w:rsid w:val="0032340A"/>
    <w:rsid w:val="00323AA6"/>
    <w:rsid w:val="00325712"/>
    <w:rsid w:val="00325993"/>
    <w:rsid w:val="00335BD2"/>
    <w:rsid w:val="00342EC2"/>
    <w:rsid w:val="003540C4"/>
    <w:rsid w:val="003638F3"/>
    <w:rsid w:val="00371F99"/>
    <w:rsid w:val="003746F0"/>
    <w:rsid w:val="00381FCE"/>
    <w:rsid w:val="003A31B0"/>
    <w:rsid w:val="003A3D5B"/>
    <w:rsid w:val="003B197B"/>
    <w:rsid w:val="003D01CE"/>
    <w:rsid w:val="003D763E"/>
    <w:rsid w:val="003F3373"/>
    <w:rsid w:val="003F4690"/>
    <w:rsid w:val="00405B85"/>
    <w:rsid w:val="00406462"/>
    <w:rsid w:val="0041315C"/>
    <w:rsid w:val="0041797A"/>
    <w:rsid w:val="00424712"/>
    <w:rsid w:val="00442F25"/>
    <w:rsid w:val="00444D9F"/>
    <w:rsid w:val="00446396"/>
    <w:rsid w:val="00457039"/>
    <w:rsid w:val="0046359A"/>
    <w:rsid w:val="004675B9"/>
    <w:rsid w:val="00474688"/>
    <w:rsid w:val="0048685E"/>
    <w:rsid w:val="004876FF"/>
    <w:rsid w:val="0049217C"/>
    <w:rsid w:val="00492C6A"/>
    <w:rsid w:val="004B26A3"/>
    <w:rsid w:val="004C7144"/>
    <w:rsid w:val="004D2F9F"/>
    <w:rsid w:val="004E5C86"/>
    <w:rsid w:val="004F02AF"/>
    <w:rsid w:val="004F2080"/>
    <w:rsid w:val="004F621C"/>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C7895"/>
    <w:rsid w:val="005E1BC1"/>
    <w:rsid w:val="005E5D0A"/>
    <w:rsid w:val="005F35E9"/>
    <w:rsid w:val="00604587"/>
    <w:rsid w:val="00611FF0"/>
    <w:rsid w:val="006148FB"/>
    <w:rsid w:val="006269D7"/>
    <w:rsid w:val="00633E3A"/>
    <w:rsid w:val="006340FC"/>
    <w:rsid w:val="00666E90"/>
    <w:rsid w:val="00667E25"/>
    <w:rsid w:val="00676673"/>
    <w:rsid w:val="00677F28"/>
    <w:rsid w:val="00681EF5"/>
    <w:rsid w:val="006B7411"/>
    <w:rsid w:val="006D085C"/>
    <w:rsid w:val="006E0DB6"/>
    <w:rsid w:val="006E2B2D"/>
    <w:rsid w:val="006E473C"/>
    <w:rsid w:val="006E7AF6"/>
    <w:rsid w:val="006F1EDB"/>
    <w:rsid w:val="006F3776"/>
    <w:rsid w:val="006F6579"/>
    <w:rsid w:val="007268DE"/>
    <w:rsid w:val="00737560"/>
    <w:rsid w:val="0074377C"/>
    <w:rsid w:val="00743B2A"/>
    <w:rsid w:val="0075263E"/>
    <w:rsid w:val="0076268A"/>
    <w:rsid w:val="00783FF0"/>
    <w:rsid w:val="00785AFD"/>
    <w:rsid w:val="007A1E72"/>
    <w:rsid w:val="007B035E"/>
    <w:rsid w:val="007B1AD3"/>
    <w:rsid w:val="007C5DDE"/>
    <w:rsid w:val="007E4E97"/>
    <w:rsid w:val="007F5198"/>
    <w:rsid w:val="00800708"/>
    <w:rsid w:val="00814554"/>
    <w:rsid w:val="008168F0"/>
    <w:rsid w:val="00832ADB"/>
    <w:rsid w:val="0083644F"/>
    <w:rsid w:val="00841F91"/>
    <w:rsid w:val="0085341D"/>
    <w:rsid w:val="00854E0A"/>
    <w:rsid w:val="00855524"/>
    <w:rsid w:val="00894862"/>
    <w:rsid w:val="0089538D"/>
    <w:rsid w:val="008A1515"/>
    <w:rsid w:val="008A666A"/>
    <w:rsid w:val="008C6943"/>
    <w:rsid w:val="008D0B97"/>
    <w:rsid w:val="008D0EDC"/>
    <w:rsid w:val="008D1B45"/>
    <w:rsid w:val="008D2183"/>
    <w:rsid w:val="008E535B"/>
    <w:rsid w:val="008F186E"/>
    <w:rsid w:val="008F3E44"/>
    <w:rsid w:val="009209BF"/>
    <w:rsid w:val="00931A7B"/>
    <w:rsid w:val="00931CF5"/>
    <w:rsid w:val="009320EF"/>
    <w:rsid w:val="00940399"/>
    <w:rsid w:val="00953610"/>
    <w:rsid w:val="00956247"/>
    <w:rsid w:val="009622FE"/>
    <w:rsid w:val="00971C53"/>
    <w:rsid w:val="009804EE"/>
    <w:rsid w:val="00991AED"/>
    <w:rsid w:val="00993582"/>
    <w:rsid w:val="00996F33"/>
    <w:rsid w:val="009B069D"/>
    <w:rsid w:val="009B66D8"/>
    <w:rsid w:val="00A031F7"/>
    <w:rsid w:val="00A07A6B"/>
    <w:rsid w:val="00A1034B"/>
    <w:rsid w:val="00A2046A"/>
    <w:rsid w:val="00A26D78"/>
    <w:rsid w:val="00A324ED"/>
    <w:rsid w:val="00A40C45"/>
    <w:rsid w:val="00A57655"/>
    <w:rsid w:val="00A70918"/>
    <w:rsid w:val="00A901DD"/>
    <w:rsid w:val="00AB6A2C"/>
    <w:rsid w:val="00AB7082"/>
    <w:rsid w:val="00AD30DF"/>
    <w:rsid w:val="00AD3B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775D3"/>
    <w:rsid w:val="00B8054C"/>
    <w:rsid w:val="00B93D0E"/>
    <w:rsid w:val="00B96B9C"/>
    <w:rsid w:val="00BA4B08"/>
    <w:rsid w:val="00BB08DB"/>
    <w:rsid w:val="00BB1667"/>
    <w:rsid w:val="00BB507B"/>
    <w:rsid w:val="00BC55B4"/>
    <w:rsid w:val="00BD6D53"/>
    <w:rsid w:val="00BE016B"/>
    <w:rsid w:val="00BE1935"/>
    <w:rsid w:val="00BE467D"/>
    <w:rsid w:val="00BF4FD0"/>
    <w:rsid w:val="00BF58B8"/>
    <w:rsid w:val="00BF6672"/>
    <w:rsid w:val="00BF790D"/>
    <w:rsid w:val="00C03AD3"/>
    <w:rsid w:val="00C062E8"/>
    <w:rsid w:val="00C32F65"/>
    <w:rsid w:val="00C83AFB"/>
    <w:rsid w:val="00C8739E"/>
    <w:rsid w:val="00C93190"/>
    <w:rsid w:val="00C93ABB"/>
    <w:rsid w:val="00C97C46"/>
    <w:rsid w:val="00CA6848"/>
    <w:rsid w:val="00CB56B6"/>
    <w:rsid w:val="00CD1BE2"/>
    <w:rsid w:val="00CD49B0"/>
    <w:rsid w:val="00CE1B3F"/>
    <w:rsid w:val="00CF500F"/>
    <w:rsid w:val="00D14138"/>
    <w:rsid w:val="00D26EC7"/>
    <w:rsid w:val="00D32261"/>
    <w:rsid w:val="00D40D2C"/>
    <w:rsid w:val="00D42D99"/>
    <w:rsid w:val="00D60024"/>
    <w:rsid w:val="00D676FF"/>
    <w:rsid w:val="00D7394E"/>
    <w:rsid w:val="00D85763"/>
    <w:rsid w:val="00D90AE9"/>
    <w:rsid w:val="00D93B52"/>
    <w:rsid w:val="00D96CCC"/>
    <w:rsid w:val="00DB2875"/>
    <w:rsid w:val="00DC144B"/>
    <w:rsid w:val="00DE37A6"/>
    <w:rsid w:val="00E006D2"/>
    <w:rsid w:val="00E045D1"/>
    <w:rsid w:val="00E05315"/>
    <w:rsid w:val="00E14B2A"/>
    <w:rsid w:val="00E173F7"/>
    <w:rsid w:val="00E17B32"/>
    <w:rsid w:val="00E269A8"/>
    <w:rsid w:val="00E31B4B"/>
    <w:rsid w:val="00E405C5"/>
    <w:rsid w:val="00E51D71"/>
    <w:rsid w:val="00E52EBE"/>
    <w:rsid w:val="00E62E08"/>
    <w:rsid w:val="00E66062"/>
    <w:rsid w:val="00E665A2"/>
    <w:rsid w:val="00E83918"/>
    <w:rsid w:val="00EA1464"/>
    <w:rsid w:val="00EB517C"/>
    <w:rsid w:val="00EB7260"/>
    <w:rsid w:val="00ED2CD7"/>
    <w:rsid w:val="00ED5C27"/>
    <w:rsid w:val="00ED7B10"/>
    <w:rsid w:val="00EE7E94"/>
    <w:rsid w:val="00EF42DF"/>
    <w:rsid w:val="00F12635"/>
    <w:rsid w:val="00F2182F"/>
    <w:rsid w:val="00F233BD"/>
    <w:rsid w:val="00F26F8C"/>
    <w:rsid w:val="00F302F0"/>
    <w:rsid w:val="00F322A1"/>
    <w:rsid w:val="00F33695"/>
    <w:rsid w:val="00F44618"/>
    <w:rsid w:val="00F47EC7"/>
    <w:rsid w:val="00F57102"/>
    <w:rsid w:val="00F762DF"/>
    <w:rsid w:val="00F84B36"/>
    <w:rsid w:val="00F927B9"/>
    <w:rsid w:val="00FA06EC"/>
    <w:rsid w:val="00FA0B31"/>
    <w:rsid w:val="00FA0E68"/>
    <w:rsid w:val="00FA742A"/>
    <w:rsid w:val="00FB6E16"/>
    <w:rsid w:val="00FC3A01"/>
    <w:rsid w:val="00FC7D33"/>
    <w:rsid w:val="00FD1B6E"/>
    <w:rsid w:val="00FE01A8"/>
    <w:rsid w:val="00FF22D0"/>
    <w:rsid w:val="00FF66F9"/>
    <w:rsid w:val="025D28CC"/>
    <w:rsid w:val="0EFA3FB6"/>
    <w:rsid w:val="0F135C71"/>
    <w:rsid w:val="1C5A4875"/>
    <w:rsid w:val="286B4E72"/>
    <w:rsid w:val="2D142198"/>
    <w:rsid w:val="3FEB4523"/>
    <w:rsid w:val="431B43BB"/>
    <w:rsid w:val="4EF32D1F"/>
    <w:rsid w:val="6F0500FF"/>
    <w:rsid w:val="76FA0C9F"/>
    <w:rsid w:val="778B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style>
  <w:style w:type="character" w:styleId="9">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0">
    <w:name w:val="Emphasis"/>
    <w:basedOn w:val="7"/>
    <w:qFormat/>
    <w:uiPriority w:val="20"/>
  </w:style>
  <w:style w:type="character" w:styleId="11">
    <w:name w:val="Hyperlink"/>
    <w:basedOn w:val="7"/>
    <w:unhideWhenUsed/>
    <w:qFormat/>
    <w:uiPriority w:val="99"/>
    <w:rPr>
      <w:color w:val="0000FF"/>
      <w:u w:val="single"/>
    </w:rPr>
  </w:style>
  <w:style w:type="character" w:styleId="12">
    <w:name w:val="HTML Cite"/>
    <w:basedOn w:val="7"/>
    <w:semiHidden/>
    <w:unhideWhenUsed/>
    <w:qFormat/>
    <w:uiPriority w:val="99"/>
  </w:style>
  <w:style w:type="character" w:customStyle="1" w:styleId="13">
    <w:name w:val="页眉 Char"/>
    <w:basedOn w:val="7"/>
    <w:link w:val="4"/>
    <w:qFormat/>
    <w:uiPriority w:val="99"/>
    <w:rPr>
      <w:rFonts w:ascii="Calibri" w:hAnsi="Calibri" w:eastAsia="宋体" w:cs="Times New Roman"/>
      <w:sz w:val="18"/>
      <w:szCs w:val="18"/>
    </w:rPr>
  </w:style>
  <w:style w:type="character" w:customStyle="1" w:styleId="14">
    <w:name w:val="页脚 Char"/>
    <w:basedOn w:val="7"/>
    <w:link w:val="3"/>
    <w:qFormat/>
    <w:uiPriority w:val="99"/>
    <w:rPr>
      <w:rFonts w:ascii="Calibri" w:hAnsi="Calibri" w:eastAsia="宋体" w:cs="Times New Roman"/>
      <w:sz w:val="18"/>
      <w:szCs w:val="18"/>
    </w:rPr>
  </w:style>
  <w:style w:type="character" w:customStyle="1" w:styleId="15">
    <w:name w:val="批注框文本 Char"/>
    <w:basedOn w:val="7"/>
    <w:link w:val="2"/>
    <w:semiHidden/>
    <w:qFormat/>
    <w:uiPriority w:val="99"/>
    <w:rPr>
      <w:rFonts w:ascii="Calibri" w:hAnsi="Calibri" w:eastAsia="宋体" w:cs="Times New Roman"/>
      <w:sz w:val="18"/>
      <w:szCs w:val="18"/>
    </w:rPr>
  </w:style>
  <w:style w:type="character" w:customStyle="1" w:styleId="16">
    <w:name w:val="butn"/>
    <w:basedOn w:val="7"/>
    <w:qFormat/>
    <w:uiPriority w:val="0"/>
  </w:style>
  <w:style w:type="character" w:customStyle="1" w:styleId="17">
    <w:name w:val="tip"/>
    <w:basedOn w:val="7"/>
    <w:qFormat/>
    <w:uiPriority w:val="0"/>
    <w:rPr>
      <w:color w:val="FF0000"/>
    </w:rPr>
  </w:style>
  <w:style w:type="character" w:customStyle="1" w:styleId="18">
    <w:name w:val="bold"/>
    <w:basedOn w:val="7"/>
    <w:qFormat/>
    <w:uiPriority w:val="0"/>
    <w:rPr>
      <w:b/>
      <w:sz w:val="21"/>
      <w:szCs w:val="21"/>
    </w:rPr>
  </w:style>
  <w:style w:type="character" w:customStyle="1" w:styleId="19">
    <w:name w:val="warn1"/>
    <w:basedOn w:val="7"/>
    <w:qFormat/>
    <w:uiPriority w:val="0"/>
    <w:rPr>
      <w:color w:val="FF0000"/>
    </w:rPr>
  </w:style>
  <w:style w:type="character" w:customStyle="1" w:styleId="20">
    <w:name w:val="del"/>
    <w:basedOn w:val="7"/>
    <w:qFormat/>
    <w:uiPriority w:val="0"/>
    <w:rPr>
      <w:color w:val="999999"/>
      <w:sz w:val="18"/>
      <w:szCs w:val="18"/>
    </w:rPr>
  </w:style>
  <w:style w:type="character" w:customStyle="1" w:styleId="21">
    <w:name w:val="icon-jia"/>
    <w:basedOn w:val="7"/>
    <w:qFormat/>
    <w:uiPriority w:val="0"/>
  </w:style>
  <w:style w:type="character" w:customStyle="1" w:styleId="22">
    <w:name w:val="icon-jian"/>
    <w:basedOn w:val="7"/>
    <w:qFormat/>
    <w:uiPriority w:val="0"/>
  </w:style>
  <w:style w:type="character" w:customStyle="1" w:styleId="23">
    <w:name w:val="warn2"/>
    <w:basedOn w:val="7"/>
    <w:qFormat/>
    <w:uiPriority w:val="0"/>
    <w:rPr>
      <w:color w:val="FF0000"/>
    </w:rPr>
  </w:style>
  <w:style w:type="character" w:customStyle="1" w:styleId="24">
    <w:name w:val="bold2"/>
    <w:basedOn w:val="7"/>
    <w:qFormat/>
    <w:uiPriority w:val="0"/>
    <w:rPr>
      <w:b/>
      <w:sz w:val="21"/>
      <w:szCs w:val="21"/>
    </w:rPr>
  </w:style>
  <w:style w:type="character" w:customStyle="1" w:styleId="25">
    <w:name w:val="tip1"/>
    <w:basedOn w:val="7"/>
    <w:qFormat/>
    <w:uiPriority w:val="0"/>
    <w:rPr>
      <w:color w:val="FF0000"/>
    </w:rPr>
  </w:style>
  <w:style w:type="paragraph" w:styleId="26">
    <w:name w:val="No Spacing"/>
    <w:basedOn w:val="1"/>
    <w:qFormat/>
    <w:uiPriority w:val="1"/>
    <w:pPr>
      <w:widowControl/>
    </w:pPr>
    <w:rPr>
      <w:rFonts w:ascii="Times New Roman" w:hAnsi="Times New Roman"/>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1500</Words>
  <Characters>8555</Characters>
  <Lines>71</Lines>
  <Paragraphs>20</Paragraphs>
  <TotalTime>3</TotalTime>
  <ScaleCrop>false</ScaleCrop>
  <LinksUpToDate>false</LinksUpToDate>
  <CharactersWithSpaces>10035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2021-12-06T07:48:00Z</dcterms:created>
  <dc:creator>林惠明</dc:creator>
  <cp:lastModifiedBy>浮水木</cp:lastModifiedBy>
  <dcterms:modified xsi:type="dcterms:W3CDTF">2021-12-08T07:49:36Z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0B0816F5A88E4593ACA339F61587B6A0</vt:lpwstr>
  </property>
</Properties>
</file>